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4F03" w:rsidRDefault="00C74F03">
      <w:pPr>
        <w:pStyle w:val="ConsPlusNormal"/>
        <w:ind w:firstLine="540"/>
        <w:jc w:val="both"/>
      </w:pPr>
    </w:p>
    <w:p w:rsidR="00C74F03" w:rsidRDefault="00C74F03">
      <w:pPr>
        <w:pStyle w:val="ConsPlusTitle"/>
        <w:jc w:val="center"/>
      </w:pPr>
      <w:bookmarkStart w:id="0" w:name="P174"/>
      <w:bookmarkEnd w:id="0"/>
      <w:r>
        <w:t>МЕТОДИКА</w:t>
      </w:r>
    </w:p>
    <w:p w:rsidR="00C74F03" w:rsidRDefault="00C74F03">
      <w:pPr>
        <w:pStyle w:val="ConsPlusTitle"/>
        <w:jc w:val="center"/>
      </w:pPr>
      <w:r>
        <w:t>РАСЧЕТА НОРМАТИВОВ ДЛЯ ОПРЕДЕЛЕНИЯ ОБЩЕГО ОБЪЕМА СУБВЕНЦИЙ,</w:t>
      </w:r>
    </w:p>
    <w:p w:rsidR="00C74F03" w:rsidRDefault="00C74F03">
      <w:pPr>
        <w:pStyle w:val="ConsPlusTitle"/>
        <w:jc w:val="center"/>
      </w:pPr>
      <w:r>
        <w:t>ПРЕДОСТАВЛЯЕМЫХ МЕСТНЫМ БЮДЖЕТАМ ИЗ ОБЛАСТНОГО БЮДЖЕТА</w:t>
      </w:r>
    </w:p>
    <w:p w:rsidR="00C74F03" w:rsidRDefault="00C74F03">
      <w:pPr>
        <w:pStyle w:val="ConsPlusTitle"/>
        <w:jc w:val="center"/>
      </w:pPr>
      <w:r>
        <w:t>НОВОСИБИРСКОЙ ОБЛАСТИ НА ОСУЩЕСТВЛЕНИЕ ОРГАНАМИ МЕСТНОГО</w:t>
      </w:r>
    </w:p>
    <w:p w:rsidR="00C74F03" w:rsidRDefault="00C74F03">
      <w:pPr>
        <w:pStyle w:val="ConsPlusTitle"/>
        <w:jc w:val="center"/>
      </w:pPr>
      <w:r>
        <w:t>САМОУПРАВЛЕНИЯ ОТДЕЛЬНЫХ ГОСУДАРСТВЕННЫХ ПОЛНОМОЧИЙ</w:t>
      </w:r>
    </w:p>
    <w:p w:rsidR="00C74F03" w:rsidRDefault="00C74F03">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C74F0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C74F03" w:rsidRDefault="00C74F0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C74F03" w:rsidRDefault="00C74F0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C74F03" w:rsidRDefault="00C74F03">
            <w:pPr>
              <w:pStyle w:val="ConsPlusNormal"/>
              <w:jc w:val="center"/>
            </w:pPr>
            <w:r>
              <w:rPr>
                <w:color w:val="392C69"/>
              </w:rPr>
              <w:t>Список изменяющих документов</w:t>
            </w:r>
          </w:p>
          <w:p w:rsidR="00C74F03" w:rsidRDefault="00C74F03">
            <w:pPr>
              <w:pStyle w:val="ConsPlusNormal"/>
              <w:jc w:val="center"/>
            </w:pPr>
            <w:r>
              <w:rPr>
                <w:color w:val="392C69"/>
              </w:rPr>
              <w:t>(в ред. Законов Новосибирской области</w:t>
            </w:r>
          </w:p>
          <w:p w:rsidR="00C74F03" w:rsidRDefault="00C74F03">
            <w:pPr>
              <w:pStyle w:val="ConsPlusNormal"/>
              <w:jc w:val="center"/>
            </w:pPr>
            <w:r>
              <w:rPr>
                <w:color w:val="392C69"/>
              </w:rPr>
              <w:t xml:space="preserve">от 29.04.2015 </w:t>
            </w:r>
            <w:hyperlink r:id="rId4">
              <w:r>
                <w:rPr>
                  <w:color w:val="0000FF"/>
                </w:rPr>
                <w:t>N 540-ОЗ</w:t>
              </w:r>
            </w:hyperlink>
            <w:r>
              <w:rPr>
                <w:color w:val="392C69"/>
              </w:rPr>
              <w:t xml:space="preserve">, от 05.12.2024 </w:t>
            </w:r>
            <w:hyperlink r:id="rId5">
              <w:r>
                <w:rPr>
                  <w:color w:val="0000FF"/>
                </w:rPr>
                <w:t>N 528-ОЗ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C74F03" w:rsidRDefault="00C74F03">
            <w:pPr>
              <w:pStyle w:val="ConsPlusNormal"/>
            </w:pPr>
          </w:p>
        </w:tc>
      </w:tr>
    </w:tbl>
    <w:p w:rsidR="00C74F03" w:rsidRDefault="00C74F03">
      <w:pPr>
        <w:pStyle w:val="ConsPlusNormal"/>
        <w:ind w:firstLine="540"/>
        <w:jc w:val="both"/>
      </w:pPr>
    </w:p>
    <w:p w:rsidR="00C74F03" w:rsidRDefault="00C74F03">
      <w:pPr>
        <w:pStyle w:val="ConsPlusNormal"/>
        <w:ind w:firstLine="540"/>
        <w:jc w:val="both"/>
      </w:pPr>
      <w:r>
        <w:t>1. Общий объем субвенций из областного бюджета Новосибирской области (далее - субвенция), предоставляемых муниципальным образованиям на осуществление отдельных государственных полномочий (Со) (далее - общий объем субвенций), рассчитывается по формуле:</w:t>
      </w:r>
    </w:p>
    <w:p w:rsidR="00C74F03" w:rsidRDefault="00C74F03">
      <w:pPr>
        <w:pStyle w:val="ConsPlusNormal"/>
        <w:ind w:firstLine="540"/>
        <w:jc w:val="both"/>
      </w:pPr>
    </w:p>
    <w:p w:rsidR="00C74F03" w:rsidRDefault="00C74F03">
      <w:pPr>
        <w:pStyle w:val="ConsPlusNormal"/>
        <w:jc w:val="center"/>
      </w:pPr>
      <w:r>
        <w:t>С</w:t>
      </w:r>
      <w:r>
        <w:rPr>
          <w:vertAlign w:val="subscript"/>
        </w:rPr>
        <w:t>о</w:t>
      </w:r>
      <w:r>
        <w:t xml:space="preserve"> = С</w:t>
      </w:r>
      <w:r>
        <w:rPr>
          <w:vertAlign w:val="subscript"/>
        </w:rPr>
        <w:t>ак</w:t>
      </w:r>
      <w:r>
        <w:t xml:space="preserve"> + </w:t>
      </w:r>
      <w:proofErr w:type="spellStart"/>
      <w:r>
        <w:t>С</w:t>
      </w:r>
      <w:r>
        <w:rPr>
          <w:vertAlign w:val="subscript"/>
        </w:rPr>
        <w:t>пр</w:t>
      </w:r>
      <w:proofErr w:type="spellEnd"/>
      <w:r>
        <w:t xml:space="preserve"> + </w:t>
      </w:r>
      <w:proofErr w:type="spellStart"/>
      <w:r>
        <w:t>С</w:t>
      </w:r>
      <w:r>
        <w:rPr>
          <w:vertAlign w:val="subscript"/>
        </w:rPr>
        <w:t>суб</w:t>
      </w:r>
      <w:proofErr w:type="spellEnd"/>
      <w:r>
        <w:t>,</w:t>
      </w:r>
    </w:p>
    <w:p w:rsidR="00C74F03" w:rsidRDefault="00C74F03">
      <w:pPr>
        <w:pStyle w:val="ConsPlusNormal"/>
        <w:ind w:firstLine="540"/>
        <w:jc w:val="both"/>
      </w:pPr>
    </w:p>
    <w:p w:rsidR="00C74F03" w:rsidRDefault="00C74F03">
      <w:pPr>
        <w:pStyle w:val="ConsPlusNormal"/>
        <w:ind w:firstLine="540"/>
        <w:jc w:val="both"/>
      </w:pPr>
      <w:r>
        <w:t>где:</w:t>
      </w:r>
    </w:p>
    <w:p w:rsidR="00C74F03" w:rsidRDefault="00C74F03">
      <w:pPr>
        <w:pStyle w:val="ConsPlusNormal"/>
        <w:spacing w:before="220"/>
        <w:ind w:firstLine="540"/>
        <w:jc w:val="both"/>
      </w:pPr>
      <w:r>
        <w:t>С</w:t>
      </w:r>
      <w:r>
        <w:rPr>
          <w:vertAlign w:val="subscript"/>
        </w:rPr>
        <w:t>ак</w:t>
      </w:r>
      <w:r>
        <w:t xml:space="preserve"> - объем субвенций, предоставляемых местным бюджетам на осуществление отдельных государственных полномочий по созданию административных комиссий, предусмотренных </w:t>
      </w:r>
      <w:hyperlink r:id="rId6">
        <w:r>
          <w:rPr>
            <w:color w:val="0000FF"/>
          </w:rPr>
          <w:t>пунктами 2</w:t>
        </w:r>
      </w:hyperlink>
      <w:r>
        <w:t xml:space="preserve"> - </w:t>
      </w:r>
      <w:hyperlink r:id="rId7">
        <w:r>
          <w:rPr>
            <w:color w:val="0000FF"/>
          </w:rPr>
          <w:t>5 части 2 статьи 1</w:t>
        </w:r>
      </w:hyperlink>
      <w:r>
        <w:t xml:space="preserve"> Закона Новосибирской области от 17 марта 2003 года N 102-ОЗ "Об административных комиссиях </w:t>
      </w:r>
      <w:bookmarkStart w:id="1" w:name="_GoBack"/>
      <w:bookmarkEnd w:id="1"/>
      <w:r>
        <w:t>в Новосибирской области" (далее - отдельное государственное полномочие по созданию административных комиссий), рублей;</w:t>
      </w:r>
    </w:p>
    <w:p w:rsidR="00C74F03" w:rsidRDefault="00C74F03">
      <w:pPr>
        <w:pStyle w:val="ConsPlusNormal"/>
        <w:spacing w:before="220"/>
        <w:ind w:firstLine="540"/>
        <w:jc w:val="both"/>
      </w:pPr>
      <w:proofErr w:type="spellStart"/>
      <w:r>
        <w:t>С</w:t>
      </w:r>
      <w:r>
        <w:rPr>
          <w:vertAlign w:val="subscript"/>
        </w:rPr>
        <w:t>пр</w:t>
      </w:r>
      <w:proofErr w:type="spellEnd"/>
      <w:r>
        <w:t xml:space="preserve"> - объем субвенций, предоставляемых местным бюджетам на осуществление отдельного государственного полномочия по определению перечня должностных лиц, указанных в </w:t>
      </w:r>
      <w:hyperlink w:anchor="P36">
        <w:r>
          <w:rPr>
            <w:color w:val="0000FF"/>
          </w:rPr>
          <w:t>пункте 4 статьи 1</w:t>
        </w:r>
      </w:hyperlink>
      <w:r>
        <w:t xml:space="preserve"> настоящего Закона (далее - отдельное государственное полномочие по определению перечня должностных лиц), рублей;</w:t>
      </w:r>
    </w:p>
    <w:p w:rsidR="00C74F03" w:rsidRDefault="00C74F03">
      <w:pPr>
        <w:pStyle w:val="ConsPlusNormal"/>
        <w:spacing w:before="220"/>
        <w:ind w:firstLine="540"/>
        <w:jc w:val="both"/>
      </w:pPr>
      <w:proofErr w:type="spellStart"/>
      <w:r>
        <w:t>С</w:t>
      </w:r>
      <w:r>
        <w:rPr>
          <w:vertAlign w:val="subscript"/>
        </w:rPr>
        <w:t>суб</w:t>
      </w:r>
      <w:proofErr w:type="spellEnd"/>
      <w:r>
        <w:t xml:space="preserve"> - объем субвенций, предоставляемых местным бюджетам муниципальных районов Новосибирской области на осуществление отдельного государственного полномочия по расчету и предоставлению субвенций местным бюджетам городских и сельских поселений Новосибирской области на осуществление отдельного государственного полномочия по определению перечня должностных лиц, а также на осуществление органами местного самоуправления городских и сельских поселений Новосибирской области отдельного государственного полномочия по определению перечня должностных лиц, рублей.</w:t>
      </w:r>
    </w:p>
    <w:p w:rsidR="00C74F03" w:rsidRDefault="00C74F03">
      <w:pPr>
        <w:pStyle w:val="ConsPlusNormal"/>
        <w:spacing w:before="220"/>
        <w:ind w:firstLine="540"/>
        <w:jc w:val="both"/>
      </w:pPr>
      <w:r>
        <w:t>2. Объем субвенций, предоставляемых местным бюджетам на осуществление отдельных государственных полномочий по созданию административных комиссий, рассчитывается по формуле:</w:t>
      </w:r>
    </w:p>
    <w:p w:rsidR="00C74F03" w:rsidRDefault="00C74F03">
      <w:pPr>
        <w:pStyle w:val="ConsPlusNormal"/>
        <w:ind w:firstLine="540"/>
        <w:jc w:val="both"/>
      </w:pPr>
    </w:p>
    <w:p w:rsidR="00C74F03" w:rsidRDefault="00C74F03">
      <w:pPr>
        <w:pStyle w:val="ConsPlusNormal"/>
        <w:jc w:val="center"/>
      </w:pPr>
      <w:r>
        <w:rPr>
          <w:noProof/>
          <w:position w:val="-26"/>
        </w:rPr>
        <w:drawing>
          <wp:inline distT="0" distB="0" distL="0" distR="0">
            <wp:extent cx="2249170" cy="47498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249170" cy="474980"/>
                    </a:xfrm>
                    <a:prstGeom prst="rect">
                      <a:avLst/>
                    </a:prstGeom>
                    <a:noFill/>
                    <a:ln>
                      <a:noFill/>
                    </a:ln>
                  </pic:spPr>
                </pic:pic>
              </a:graphicData>
            </a:graphic>
          </wp:inline>
        </w:drawing>
      </w:r>
    </w:p>
    <w:p w:rsidR="00C74F03" w:rsidRDefault="00C74F03">
      <w:pPr>
        <w:pStyle w:val="ConsPlusNormal"/>
        <w:jc w:val="both"/>
      </w:pPr>
      <w:r>
        <w:t xml:space="preserve">(в ред. </w:t>
      </w:r>
      <w:hyperlink r:id="rId9">
        <w:r>
          <w:rPr>
            <w:color w:val="0000FF"/>
          </w:rPr>
          <w:t>Закона</w:t>
        </w:r>
      </w:hyperlink>
      <w:r>
        <w:t xml:space="preserve"> Новосибирской области от 05.12.2024 N 528-ОЗ)</w:t>
      </w:r>
    </w:p>
    <w:p w:rsidR="00C74F03" w:rsidRDefault="00C74F03">
      <w:pPr>
        <w:pStyle w:val="ConsPlusNormal"/>
        <w:ind w:firstLine="540"/>
        <w:jc w:val="both"/>
      </w:pPr>
    </w:p>
    <w:p w:rsidR="00C74F03" w:rsidRDefault="00C74F03">
      <w:pPr>
        <w:pStyle w:val="ConsPlusNormal"/>
        <w:ind w:firstLine="540"/>
        <w:jc w:val="both"/>
      </w:pPr>
      <w:r>
        <w:t>где:</w:t>
      </w:r>
    </w:p>
    <w:p w:rsidR="00C74F03" w:rsidRDefault="00C74F03">
      <w:pPr>
        <w:pStyle w:val="ConsPlusNormal"/>
        <w:spacing w:before="220"/>
        <w:ind w:firstLine="540"/>
        <w:jc w:val="both"/>
      </w:pPr>
      <w:r>
        <w:t>i - муниципальный район, муниципальный округ или городской округ Новосибирской области;</w:t>
      </w:r>
    </w:p>
    <w:p w:rsidR="00C74F03" w:rsidRDefault="00C74F03">
      <w:pPr>
        <w:pStyle w:val="ConsPlusNormal"/>
        <w:jc w:val="both"/>
      </w:pPr>
      <w:r>
        <w:t xml:space="preserve">(в ред. </w:t>
      </w:r>
      <w:hyperlink r:id="rId10">
        <w:r>
          <w:rPr>
            <w:color w:val="0000FF"/>
          </w:rPr>
          <w:t>Закона</w:t>
        </w:r>
      </w:hyperlink>
      <w:r>
        <w:t xml:space="preserve"> Новосибирской области от 05.12.2024 N 528-ОЗ)</w:t>
      </w:r>
    </w:p>
    <w:p w:rsidR="00C74F03" w:rsidRDefault="00C74F03">
      <w:pPr>
        <w:pStyle w:val="ConsPlusNormal"/>
        <w:spacing w:before="220"/>
        <w:ind w:firstLine="540"/>
        <w:jc w:val="both"/>
      </w:pPr>
      <w:r>
        <w:t xml:space="preserve">n - количество муниципальных районов, муниципальных округов и городских округов </w:t>
      </w:r>
      <w:r>
        <w:lastRenderedPageBreak/>
        <w:t>Новосибирской области;</w:t>
      </w:r>
    </w:p>
    <w:p w:rsidR="00C74F03" w:rsidRDefault="00C74F03">
      <w:pPr>
        <w:pStyle w:val="ConsPlusNormal"/>
        <w:jc w:val="both"/>
      </w:pPr>
      <w:r>
        <w:t xml:space="preserve">(в ред. </w:t>
      </w:r>
      <w:hyperlink r:id="rId11">
        <w:r>
          <w:rPr>
            <w:color w:val="0000FF"/>
          </w:rPr>
          <w:t>Закона</w:t>
        </w:r>
      </w:hyperlink>
      <w:r>
        <w:t xml:space="preserve"> Новосибирской области от 05.12.2024 N 528-ОЗ)</w:t>
      </w:r>
    </w:p>
    <w:p w:rsidR="00C74F03" w:rsidRDefault="00C74F03">
      <w:pPr>
        <w:pStyle w:val="ConsPlusNormal"/>
        <w:spacing w:before="220"/>
        <w:ind w:firstLine="540"/>
        <w:jc w:val="both"/>
      </w:pPr>
      <w:r>
        <w:t>К - корректирующий коэффициент, учитывающий количество административных комиссий, образованных на территории одного муниципального района, одного муниципального округа или одного городского округа Новосибирской области, который равен:</w:t>
      </w:r>
    </w:p>
    <w:p w:rsidR="00C74F03" w:rsidRDefault="00C74F03">
      <w:pPr>
        <w:pStyle w:val="ConsPlusNormal"/>
        <w:jc w:val="both"/>
      </w:pPr>
      <w:r>
        <w:t xml:space="preserve">(в ред. </w:t>
      </w:r>
      <w:hyperlink r:id="rId12">
        <w:r>
          <w:rPr>
            <w:color w:val="0000FF"/>
          </w:rPr>
          <w:t>Закона</w:t>
        </w:r>
      </w:hyperlink>
      <w:r>
        <w:t xml:space="preserve"> Новосибирской области от 05.12.2024 N 528-ОЗ)</w:t>
      </w:r>
    </w:p>
    <w:p w:rsidR="00C74F03" w:rsidRDefault="00C74F03">
      <w:pPr>
        <w:pStyle w:val="ConsPlusNormal"/>
        <w:spacing w:before="220"/>
        <w:ind w:firstLine="540"/>
        <w:jc w:val="both"/>
      </w:pPr>
      <w:r>
        <w:t>0,5 - для муниципальных районов, муниципальных округов и городских округов Новосибирской области с количеством административных комиссий, не превышающим 10;</w:t>
      </w:r>
    </w:p>
    <w:p w:rsidR="00C74F03" w:rsidRDefault="00C74F03">
      <w:pPr>
        <w:pStyle w:val="ConsPlusNormal"/>
        <w:jc w:val="both"/>
      </w:pPr>
      <w:r>
        <w:t xml:space="preserve">(в ред. </w:t>
      </w:r>
      <w:hyperlink r:id="rId13">
        <w:r>
          <w:rPr>
            <w:color w:val="0000FF"/>
          </w:rPr>
          <w:t>Закона</w:t>
        </w:r>
      </w:hyperlink>
      <w:r>
        <w:t xml:space="preserve"> Новосибирской области от 05.12.2024 N 528-ОЗ)</w:t>
      </w:r>
    </w:p>
    <w:p w:rsidR="00C74F03" w:rsidRDefault="00C74F03">
      <w:pPr>
        <w:pStyle w:val="ConsPlusNormal"/>
        <w:spacing w:before="220"/>
        <w:ind w:firstLine="540"/>
        <w:jc w:val="both"/>
      </w:pPr>
      <w:r>
        <w:t>0,75 - для муниципальных районов, муниципальных округов и городских округов Новосибирской области с количеством административных комиссий, не превышающим 20;</w:t>
      </w:r>
    </w:p>
    <w:p w:rsidR="00C74F03" w:rsidRDefault="00C74F03">
      <w:pPr>
        <w:pStyle w:val="ConsPlusNormal"/>
        <w:jc w:val="both"/>
      </w:pPr>
      <w:r>
        <w:t xml:space="preserve">(в ред. </w:t>
      </w:r>
      <w:hyperlink r:id="rId14">
        <w:r>
          <w:rPr>
            <w:color w:val="0000FF"/>
          </w:rPr>
          <w:t>Закона</w:t>
        </w:r>
      </w:hyperlink>
      <w:r>
        <w:t xml:space="preserve"> Новосибирской области от 05.12.2024 N 528-ОЗ)</w:t>
      </w:r>
    </w:p>
    <w:p w:rsidR="00C74F03" w:rsidRDefault="00C74F03">
      <w:pPr>
        <w:pStyle w:val="ConsPlusNormal"/>
        <w:spacing w:before="220"/>
        <w:ind w:firstLine="540"/>
        <w:jc w:val="both"/>
      </w:pPr>
      <w:r>
        <w:t>1,0 - для муниципальных районов, муниципальных округов и городских округов Новосибирской области с количеством административных комиссий свыше 20;</w:t>
      </w:r>
    </w:p>
    <w:p w:rsidR="00C74F03" w:rsidRDefault="00C74F03">
      <w:pPr>
        <w:pStyle w:val="ConsPlusNormal"/>
        <w:jc w:val="both"/>
      </w:pPr>
      <w:r>
        <w:t xml:space="preserve">(в ред. </w:t>
      </w:r>
      <w:hyperlink r:id="rId15">
        <w:r>
          <w:rPr>
            <w:color w:val="0000FF"/>
          </w:rPr>
          <w:t>Закона</w:t>
        </w:r>
      </w:hyperlink>
      <w:r>
        <w:t xml:space="preserve"> Новосибирской области от 05.12.2024 N 528-ОЗ)</w:t>
      </w:r>
    </w:p>
    <w:p w:rsidR="00C74F03" w:rsidRDefault="00C74F03">
      <w:pPr>
        <w:pStyle w:val="ConsPlusNormal"/>
        <w:spacing w:before="220"/>
        <w:ind w:firstLine="540"/>
        <w:jc w:val="both"/>
      </w:pPr>
      <w:proofErr w:type="spellStart"/>
      <w:r>
        <w:t>Н</w:t>
      </w:r>
      <w:r>
        <w:rPr>
          <w:vertAlign w:val="subscript"/>
        </w:rPr>
        <w:t>ак</w:t>
      </w:r>
      <w:proofErr w:type="spellEnd"/>
      <w:r>
        <w:t xml:space="preserve"> - норматив финансовых затрат на осуществление отдельных государственных полномочий по созданию административных комиссий, рассчитывается по формуле:</w:t>
      </w:r>
    </w:p>
    <w:p w:rsidR="00C74F03" w:rsidRDefault="00C74F03">
      <w:pPr>
        <w:pStyle w:val="ConsPlusNormal"/>
        <w:ind w:firstLine="540"/>
        <w:jc w:val="both"/>
      </w:pPr>
    </w:p>
    <w:p w:rsidR="00C74F03" w:rsidRDefault="00C74F03">
      <w:pPr>
        <w:pStyle w:val="ConsPlusNormal"/>
        <w:jc w:val="center"/>
      </w:pPr>
      <w:proofErr w:type="spellStart"/>
      <w:r>
        <w:t>Н</w:t>
      </w:r>
      <w:r>
        <w:rPr>
          <w:vertAlign w:val="subscript"/>
        </w:rPr>
        <w:t>ак</w:t>
      </w:r>
      <w:proofErr w:type="spellEnd"/>
      <w:r>
        <w:t xml:space="preserve"> = 0,015 (</w:t>
      </w:r>
      <w:proofErr w:type="spellStart"/>
      <w:r>
        <w:t>ДС</w:t>
      </w:r>
      <w:r>
        <w:rPr>
          <w:vertAlign w:val="subscript"/>
        </w:rPr>
        <w:t>спец</w:t>
      </w:r>
      <w:proofErr w:type="spellEnd"/>
      <w:r>
        <w:t xml:space="preserve"> + 0,25 x </w:t>
      </w:r>
      <w:proofErr w:type="spellStart"/>
      <w:r>
        <w:t>ДС</w:t>
      </w:r>
      <w:r>
        <w:rPr>
          <w:vertAlign w:val="subscript"/>
        </w:rPr>
        <w:t>спец</w:t>
      </w:r>
      <w:proofErr w:type="spellEnd"/>
      <w:r>
        <w:t>),</w:t>
      </w:r>
    </w:p>
    <w:p w:rsidR="00C74F03" w:rsidRDefault="00C74F03">
      <w:pPr>
        <w:pStyle w:val="ConsPlusNormal"/>
        <w:ind w:firstLine="540"/>
        <w:jc w:val="both"/>
      </w:pPr>
    </w:p>
    <w:p w:rsidR="00C74F03" w:rsidRDefault="00C74F03">
      <w:pPr>
        <w:pStyle w:val="ConsPlusNormal"/>
        <w:ind w:firstLine="540"/>
        <w:jc w:val="both"/>
      </w:pPr>
      <w:r>
        <w:t>где:</w:t>
      </w:r>
    </w:p>
    <w:p w:rsidR="00C74F03" w:rsidRDefault="00C74F03">
      <w:pPr>
        <w:pStyle w:val="ConsPlusNormal"/>
        <w:spacing w:before="220"/>
        <w:ind w:firstLine="540"/>
        <w:jc w:val="both"/>
      </w:pPr>
      <w:r>
        <w:t>0,015 - коэффициент рабочего времени, необходимого для подготовки материалов по созданию административной комиссии;</w:t>
      </w:r>
    </w:p>
    <w:p w:rsidR="00C74F03" w:rsidRDefault="00C74F03">
      <w:pPr>
        <w:pStyle w:val="ConsPlusNormal"/>
        <w:spacing w:before="220"/>
        <w:ind w:firstLine="540"/>
        <w:jc w:val="both"/>
      </w:pPr>
      <w:proofErr w:type="spellStart"/>
      <w:r>
        <w:t>ДС</w:t>
      </w:r>
      <w:r>
        <w:rPr>
          <w:vertAlign w:val="subscript"/>
        </w:rPr>
        <w:t>спец</w:t>
      </w:r>
      <w:proofErr w:type="spellEnd"/>
      <w:r>
        <w:t xml:space="preserve"> - денежное содержание государственного гражданского служащего, замещающего должность государственной гражданской службы Новосибирской области "специалист 2 разряда", включая начисления на выплаты по оплате труда, рублей;</w:t>
      </w:r>
    </w:p>
    <w:p w:rsidR="00C74F03" w:rsidRDefault="00C74F03">
      <w:pPr>
        <w:pStyle w:val="ConsPlusNormal"/>
        <w:spacing w:before="220"/>
        <w:ind w:firstLine="540"/>
        <w:jc w:val="both"/>
      </w:pPr>
      <w:r>
        <w:t>0,25 - коэффициент нормирования материальных расходов на обеспечение деятельности по подготовке материалов для создания административных комиссий.</w:t>
      </w:r>
    </w:p>
    <w:p w:rsidR="00C74F03" w:rsidRDefault="00C74F03">
      <w:pPr>
        <w:pStyle w:val="ConsPlusNormal"/>
        <w:spacing w:before="220"/>
        <w:ind w:firstLine="540"/>
        <w:jc w:val="both"/>
      </w:pPr>
      <w:r>
        <w:t>3. Объем субвенций, предоставляемых местным бюджетам на осуществление отдельного государственного полномочия по определению перечня должностных лиц, рассчитывается по формуле:</w:t>
      </w:r>
    </w:p>
    <w:p w:rsidR="00C74F03" w:rsidRDefault="00C74F03">
      <w:pPr>
        <w:pStyle w:val="ConsPlusNormal"/>
        <w:ind w:firstLine="540"/>
        <w:jc w:val="both"/>
      </w:pPr>
    </w:p>
    <w:p w:rsidR="00C74F03" w:rsidRDefault="00C74F03">
      <w:pPr>
        <w:pStyle w:val="ConsPlusNormal"/>
        <w:jc w:val="center"/>
      </w:pPr>
      <w:proofErr w:type="spellStart"/>
      <w:r>
        <w:t>С</w:t>
      </w:r>
      <w:r>
        <w:rPr>
          <w:vertAlign w:val="subscript"/>
        </w:rPr>
        <w:t>пр</w:t>
      </w:r>
      <w:proofErr w:type="spellEnd"/>
      <w:r>
        <w:t xml:space="preserve"> = </w:t>
      </w:r>
      <w:proofErr w:type="spellStart"/>
      <w:r>
        <w:t>Н</w:t>
      </w:r>
      <w:r>
        <w:rPr>
          <w:vertAlign w:val="subscript"/>
        </w:rPr>
        <w:t>ф</w:t>
      </w:r>
      <w:proofErr w:type="spellEnd"/>
      <w:r>
        <w:t xml:space="preserve"> x n,</w:t>
      </w:r>
    </w:p>
    <w:p w:rsidR="00C74F03" w:rsidRDefault="00C74F03">
      <w:pPr>
        <w:pStyle w:val="ConsPlusNormal"/>
        <w:ind w:firstLine="540"/>
        <w:jc w:val="both"/>
      </w:pPr>
    </w:p>
    <w:p w:rsidR="00C74F03" w:rsidRDefault="00C74F03">
      <w:pPr>
        <w:pStyle w:val="ConsPlusNormal"/>
        <w:ind w:firstLine="540"/>
        <w:jc w:val="both"/>
      </w:pPr>
      <w:r>
        <w:t>где:</w:t>
      </w:r>
    </w:p>
    <w:p w:rsidR="00C74F03" w:rsidRDefault="00C74F03">
      <w:pPr>
        <w:pStyle w:val="ConsPlusNormal"/>
        <w:spacing w:before="220"/>
        <w:ind w:firstLine="540"/>
        <w:jc w:val="both"/>
      </w:pPr>
      <w:proofErr w:type="spellStart"/>
      <w:r>
        <w:t>Н</w:t>
      </w:r>
      <w:r>
        <w:rPr>
          <w:vertAlign w:val="subscript"/>
        </w:rPr>
        <w:t>ф</w:t>
      </w:r>
      <w:proofErr w:type="spellEnd"/>
      <w:r>
        <w:t xml:space="preserve"> - норматив финансовых затрат на осуществление органами местного самоуправления муниципального района, муниципального округа или городского округа Новосибирской области отдельного государственного полномочия по определению перечня должностных лиц, равный 100,00 рубля в год.</w:t>
      </w:r>
    </w:p>
    <w:p w:rsidR="00C74F03" w:rsidRDefault="00C74F03">
      <w:pPr>
        <w:pStyle w:val="ConsPlusNormal"/>
        <w:jc w:val="both"/>
      </w:pPr>
      <w:r>
        <w:t xml:space="preserve">(в ред. </w:t>
      </w:r>
      <w:hyperlink r:id="rId16">
        <w:r>
          <w:rPr>
            <w:color w:val="0000FF"/>
          </w:rPr>
          <w:t>Закона</w:t>
        </w:r>
      </w:hyperlink>
      <w:r>
        <w:t xml:space="preserve"> Новосибирской области от 05.12.2024 N 528-ОЗ)</w:t>
      </w:r>
    </w:p>
    <w:p w:rsidR="00C74F03" w:rsidRDefault="00C74F03">
      <w:pPr>
        <w:pStyle w:val="ConsPlusNormal"/>
        <w:spacing w:before="220"/>
        <w:ind w:firstLine="540"/>
        <w:jc w:val="both"/>
      </w:pPr>
      <w:r>
        <w:t xml:space="preserve">4. Объем субвенций, предоставляемых местным бюджетам муниципальных районов Новосибирской области на осуществление отдельного государственного полномочия по расчету и предоставлению субвенций местным бюджетам городских и сельских поселений Новосибирской области соответствующего муниципального района Новосибирской области, а также на осуществление органами местного самоуправления городских и сельских поселений </w:t>
      </w:r>
      <w:r>
        <w:lastRenderedPageBreak/>
        <w:t>Новосибирской области отдельного государственного полномочия по определению перечня должностных лиц, рассчитывается по формуле:</w:t>
      </w:r>
    </w:p>
    <w:p w:rsidR="00C74F03" w:rsidRDefault="00C74F03">
      <w:pPr>
        <w:pStyle w:val="ConsPlusNormal"/>
        <w:ind w:firstLine="540"/>
        <w:jc w:val="both"/>
      </w:pPr>
    </w:p>
    <w:p w:rsidR="00C74F03" w:rsidRDefault="00C74F03">
      <w:pPr>
        <w:pStyle w:val="ConsPlusNormal"/>
        <w:jc w:val="center"/>
      </w:pPr>
      <w:r>
        <w:rPr>
          <w:noProof/>
          <w:position w:val="-27"/>
        </w:rPr>
        <w:drawing>
          <wp:inline distT="0" distB="0" distL="0" distR="0">
            <wp:extent cx="2095500" cy="488950"/>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2095500" cy="488950"/>
                    </a:xfrm>
                    <a:prstGeom prst="rect">
                      <a:avLst/>
                    </a:prstGeom>
                    <a:noFill/>
                    <a:ln>
                      <a:noFill/>
                    </a:ln>
                  </pic:spPr>
                </pic:pic>
              </a:graphicData>
            </a:graphic>
          </wp:inline>
        </w:drawing>
      </w:r>
    </w:p>
    <w:p w:rsidR="00C74F03" w:rsidRDefault="00C74F03">
      <w:pPr>
        <w:pStyle w:val="ConsPlusNormal"/>
        <w:jc w:val="both"/>
      </w:pPr>
      <w:r>
        <w:t xml:space="preserve">(в ред. </w:t>
      </w:r>
      <w:hyperlink r:id="rId18">
        <w:r>
          <w:rPr>
            <w:color w:val="0000FF"/>
          </w:rPr>
          <w:t>Закона</w:t>
        </w:r>
      </w:hyperlink>
      <w:r>
        <w:t xml:space="preserve"> Новосибирской области от 05.12.2024 N 528-ОЗ)</w:t>
      </w:r>
    </w:p>
    <w:p w:rsidR="00C74F03" w:rsidRDefault="00C74F03">
      <w:pPr>
        <w:pStyle w:val="ConsPlusNormal"/>
        <w:ind w:firstLine="540"/>
        <w:jc w:val="both"/>
      </w:pPr>
    </w:p>
    <w:p w:rsidR="00C74F03" w:rsidRDefault="00C74F03">
      <w:pPr>
        <w:pStyle w:val="ConsPlusNormal"/>
        <w:ind w:firstLine="540"/>
        <w:jc w:val="both"/>
      </w:pPr>
      <w:r>
        <w:t>где:</w:t>
      </w:r>
    </w:p>
    <w:p w:rsidR="00C74F03" w:rsidRDefault="00C74F03">
      <w:pPr>
        <w:pStyle w:val="ConsPlusNormal"/>
        <w:spacing w:before="220"/>
        <w:ind w:firstLine="540"/>
        <w:jc w:val="both"/>
      </w:pPr>
      <w:r>
        <w:t>j - муниципальные районы Новосибирской области;</w:t>
      </w:r>
    </w:p>
    <w:p w:rsidR="00C74F03" w:rsidRDefault="00C74F03">
      <w:pPr>
        <w:pStyle w:val="ConsPlusNormal"/>
        <w:spacing w:before="220"/>
        <w:ind w:firstLine="540"/>
        <w:jc w:val="both"/>
      </w:pPr>
      <w:r>
        <w:t>m - количество муниципальных районов Новосибирской области;</w:t>
      </w:r>
    </w:p>
    <w:p w:rsidR="00C74F03" w:rsidRDefault="00C74F03">
      <w:pPr>
        <w:pStyle w:val="ConsPlusNormal"/>
        <w:spacing w:before="220"/>
        <w:ind w:firstLine="540"/>
        <w:jc w:val="both"/>
      </w:pPr>
      <w:r>
        <w:t>k - количество городских и сельских поселений Новосибирской области в j-ом муниципальном районе Новосибирской области;</w:t>
      </w:r>
    </w:p>
    <w:p w:rsidR="00C74F03" w:rsidRDefault="00C74F03">
      <w:pPr>
        <w:pStyle w:val="ConsPlusNormal"/>
        <w:spacing w:before="220"/>
        <w:ind w:firstLine="540"/>
        <w:jc w:val="both"/>
      </w:pPr>
      <w:proofErr w:type="spellStart"/>
      <w:r>
        <w:t>Н</w:t>
      </w:r>
      <w:r>
        <w:rPr>
          <w:vertAlign w:val="subscript"/>
        </w:rPr>
        <w:t>фа</w:t>
      </w:r>
      <w:proofErr w:type="spellEnd"/>
      <w:r>
        <w:t xml:space="preserve"> - норматив финансовых затрат на осуществление органами местного самоуправления муниципальных районов Новосибирской области отдельного государственного полномочия по расчету и предоставлению субвенций местным бюджетам городских и сельских поселений Новосибирской области соответствующего муниципального района Новосибирской области, равный 10,00 рубля в год.</w:t>
      </w:r>
    </w:p>
    <w:p w:rsidR="00C74F03" w:rsidRDefault="00C74F03">
      <w:pPr>
        <w:pStyle w:val="ConsPlusNormal"/>
        <w:spacing w:before="220"/>
        <w:ind w:firstLine="540"/>
        <w:jc w:val="both"/>
      </w:pPr>
      <w:r>
        <w:t>5. Расчет субвенций из местного бюджета муниципального района Новосибирской области местному бюджету городского или сельского поселения Новосибирской области на осуществление отдельного государственного полномочия по определению перечня должностных лиц производится исходя из норматива финансовых затрат, равного 100,00 рубля в год.</w:t>
      </w:r>
    </w:p>
    <w:p w:rsidR="00C74F03" w:rsidRDefault="00C74F03">
      <w:pPr>
        <w:pStyle w:val="ConsPlusNormal"/>
        <w:ind w:firstLine="540"/>
        <w:jc w:val="both"/>
      </w:pPr>
    </w:p>
    <w:p w:rsidR="00C74F03" w:rsidRDefault="00C74F03">
      <w:pPr>
        <w:pStyle w:val="ConsPlusNormal"/>
        <w:ind w:firstLine="540"/>
        <w:jc w:val="both"/>
      </w:pPr>
    </w:p>
    <w:p w:rsidR="00C74F03" w:rsidRDefault="00C74F03">
      <w:pPr>
        <w:pStyle w:val="ConsPlusNormal"/>
        <w:pBdr>
          <w:bottom w:val="single" w:sz="6" w:space="0" w:color="auto"/>
        </w:pBdr>
        <w:spacing w:before="100" w:after="100"/>
        <w:jc w:val="both"/>
        <w:rPr>
          <w:sz w:val="2"/>
          <w:szCs w:val="2"/>
        </w:rPr>
      </w:pPr>
    </w:p>
    <w:p w:rsidR="00175FF9" w:rsidRDefault="00175FF9"/>
    <w:sectPr w:rsidR="00175FF9" w:rsidSect="00DC7EE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4F03"/>
    <w:rsid w:val="00175FF9"/>
    <w:rsid w:val="00C74F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CD891A-FEA6-46EE-88BD-A7B82F8691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74F03"/>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C74F03"/>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C74F03"/>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s://login.consultant.ru/link/?req=doc&amp;base=RLAW049&amp;n=178425&amp;dst=100050" TargetMode="External"/><Relationship Id="rId18" Type="http://schemas.openxmlformats.org/officeDocument/2006/relationships/hyperlink" Target="https://login.consultant.ru/link/?req=doc&amp;base=RLAW049&amp;n=178425&amp;dst=100054" TargetMode="External"/><Relationship Id="rId3" Type="http://schemas.openxmlformats.org/officeDocument/2006/relationships/webSettings" Target="webSettings.xml"/><Relationship Id="rId7" Type="http://schemas.openxmlformats.org/officeDocument/2006/relationships/hyperlink" Target="https://login.consultant.ru/link/?req=doc&amp;base=RLAW049&amp;n=178566&amp;dst=100194" TargetMode="External"/><Relationship Id="rId12" Type="http://schemas.openxmlformats.org/officeDocument/2006/relationships/hyperlink" Target="https://login.consultant.ru/link/?req=doc&amp;base=RLAW049&amp;n=178425&amp;dst=100049" TargetMode="External"/><Relationship Id="rId17" Type="http://schemas.openxmlformats.org/officeDocument/2006/relationships/image" Target="media/image2.wmf"/><Relationship Id="rId2" Type="http://schemas.openxmlformats.org/officeDocument/2006/relationships/settings" Target="settings.xml"/><Relationship Id="rId16" Type="http://schemas.openxmlformats.org/officeDocument/2006/relationships/hyperlink" Target="https://login.consultant.ru/link/?req=doc&amp;base=RLAW049&amp;n=178425&amp;dst=100053" TargetMode="External"/><Relationship Id="rId20"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login.consultant.ru/link/?req=doc&amp;base=RLAW049&amp;n=178566&amp;dst=100078" TargetMode="External"/><Relationship Id="rId11" Type="http://schemas.openxmlformats.org/officeDocument/2006/relationships/hyperlink" Target="https://login.consultant.ru/link/?req=doc&amp;base=RLAW049&amp;n=178425&amp;dst=100048" TargetMode="External"/><Relationship Id="rId5" Type="http://schemas.openxmlformats.org/officeDocument/2006/relationships/hyperlink" Target="https://login.consultant.ru/link/?req=doc&amp;base=RLAW049&amp;n=178425&amp;dst=100044" TargetMode="External"/><Relationship Id="rId15" Type="http://schemas.openxmlformats.org/officeDocument/2006/relationships/hyperlink" Target="https://login.consultant.ru/link/?req=doc&amp;base=RLAW049&amp;n=178425&amp;dst=100052" TargetMode="External"/><Relationship Id="rId10" Type="http://schemas.openxmlformats.org/officeDocument/2006/relationships/hyperlink" Target="https://login.consultant.ru/link/?req=doc&amp;base=RLAW049&amp;n=178425&amp;dst=100047" TargetMode="External"/><Relationship Id="rId19" Type="http://schemas.openxmlformats.org/officeDocument/2006/relationships/fontTable" Target="fontTable.xml"/><Relationship Id="rId4" Type="http://schemas.openxmlformats.org/officeDocument/2006/relationships/hyperlink" Target="https://login.consultant.ru/link/?req=doc&amp;base=RLAW049&amp;n=80264&amp;dst=100092" TargetMode="External"/><Relationship Id="rId9" Type="http://schemas.openxmlformats.org/officeDocument/2006/relationships/hyperlink" Target="https://login.consultant.ru/link/?req=doc&amp;base=RLAW049&amp;n=178425&amp;dst=100046" TargetMode="External"/><Relationship Id="rId14" Type="http://schemas.openxmlformats.org/officeDocument/2006/relationships/hyperlink" Target="https://login.consultant.ru/link/?req=doc&amp;base=RLAW049&amp;n=178425&amp;dst=1000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1104</Words>
  <Characters>6298</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PNO</Company>
  <LinksUpToDate>false</LinksUpToDate>
  <CharactersWithSpaces>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Монгуш Юлия Юрьевна</dc:creator>
  <cp:keywords/>
  <dc:description/>
  <cp:lastModifiedBy>Монгуш Юлия Юрьевна</cp:lastModifiedBy>
  <cp:revision>1</cp:revision>
  <dcterms:created xsi:type="dcterms:W3CDTF">2025-10-16T06:13:00Z</dcterms:created>
  <dcterms:modified xsi:type="dcterms:W3CDTF">2025-10-16T06:15:00Z</dcterms:modified>
</cp:coreProperties>
</file>